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A757" w14:textId="77777777" w:rsidR="0067618F" w:rsidRPr="00922975" w:rsidRDefault="00BE6DB5" w:rsidP="00EE1907">
      <w:pPr>
        <w:pStyle w:val="Test"/>
        <w:shd w:val="clear" w:color="auto" w:fill="DED888"/>
        <w:spacing w:after="160"/>
        <w:jc w:val="center"/>
        <w:rPr>
          <w:rStyle w:val="lev"/>
          <w:rFonts w:ascii="Times New Roman" w:hAnsi="Times New Roman"/>
          <w:b/>
          <w:bCs w:val="0"/>
          <w:color w:val="4F81BD" w:themeColor="accent1"/>
          <w:sz w:val="32"/>
          <w:szCs w:val="32"/>
        </w:rPr>
      </w:pPr>
      <w:r>
        <w:rPr>
          <w:rStyle w:val="lev"/>
          <w:rFonts w:ascii="Times New Roman" w:hAnsi="Times New Roman"/>
          <w:b/>
          <w:color w:val="4F81BD" w:themeColor="accent1"/>
          <w:sz w:val="32"/>
        </w:rPr>
        <w:t>Module 2 Scénarios d’affaires – Compétences du Parquet européen</w:t>
      </w:r>
    </w:p>
    <w:p w14:paraId="20865D39" w14:textId="77777777" w:rsidR="0067618F" w:rsidRPr="00A26AF8" w:rsidRDefault="0067618F" w:rsidP="00F50ABB">
      <w:pPr>
        <w:pStyle w:val="Corpsdetexte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5D354605" w14:textId="75024BA3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X, P.-D.G. d’une société hongroise et représentant d’un consortium ayant participé à une procédure d’appel d’offres spécifique, a contacté deux fonctionnaires de la Commission européenne à Bruxelles. Afin d’optimiser les offres du consortium, il a demandé aux fonctionnaires de l’UE s’ils étaient prêts à lui communiquer des informations confidentielles des autres soumissionnaires en matière de prix et d’autres informations commercialement sensibles. </w:t>
      </w:r>
    </w:p>
    <w:p w14:paraId="6B37E469" w14:textId="75BD4233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Les fonctionnaires, citoyens des États membres A et B, situés à Bruxelles, étaient disposés à fournir les informations demandées pour 20 000 euros chacun. Les conversations avec les agents ont eu lieu à Londres. Au cours des réunions, A et B ont fourni les informations demandées en prodiguant à X des conseils qui ont permis au consortium de sous-enchérir légèrement l’offre du concurrent. Dans sa soumission, X a présenté des déclarations et des documents in</w:t>
      </w:r>
      <w:r w:rsidR="003B14DA">
        <w:rPr>
          <w:rFonts w:ascii="Times New Roman" w:hAnsi="Times New Roman"/>
          <w:sz w:val="24"/>
        </w:rPr>
        <w:t>exacts</w:t>
      </w:r>
      <w:r>
        <w:rPr>
          <w:rFonts w:ascii="Times New Roman" w:hAnsi="Times New Roman"/>
          <w:sz w:val="24"/>
        </w:rPr>
        <w:t>.</w:t>
      </w:r>
    </w:p>
    <w:p w14:paraId="0DCB87D4" w14:textId="00FEE831" w:rsidR="0067618F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L’affaire a attiré l’attention des médias et du public dans toute l’Union européenne. Les parquets nationaux de A et B ont été informés de l’affaire de corruption par des services médias nationaux. Chacun des États membres de A et B a ouvert une enquête nationale contre son citoyen.</w:t>
      </w:r>
    </w:p>
    <w:p w14:paraId="5EE11203" w14:textId="0FE3D6D3" w:rsidR="0067618F" w:rsidRDefault="0067618F" w:rsidP="00F50ABB">
      <w:pPr>
        <w:pStyle w:val="Corpsdetexte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568AA748" w:rsidR="00A26AF8" w:rsidRPr="00A26AF8" w:rsidRDefault="00A26AF8" w:rsidP="00F50ABB">
      <w:pPr>
        <w:pStyle w:val="Corpsdetexte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</w:rPr>
      </w:pPr>
      <w:r>
        <w:rPr>
          <w:rFonts w:ascii="Times New Roman" w:hAnsi="Times New Roman"/>
          <w:b/>
          <w:i/>
          <w:color w:val="4F81BD" w:themeColor="accent1"/>
          <w:sz w:val="28"/>
        </w:rPr>
        <w:t>Questions :</w:t>
      </w:r>
    </w:p>
    <w:p w14:paraId="2C1B60E3" w14:textId="17BAFFB3" w:rsidR="001121C3" w:rsidRPr="00A26AF8" w:rsidRDefault="00A26AF8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Q1. En supposant que les intérêts financiers de l’UE aient été lésés, quelle est votre évaluation juridique des actions de X ? Le Parquet européen peut-il ouvrir des </w:t>
      </w:r>
      <w:r w:rsidR="003B7D72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>nquêtes à son encontre ? Les choses seraient-elles différentes si les intérêts financiers de l’UE n’étaient pas lésés ?</w:t>
      </w:r>
    </w:p>
    <w:p w14:paraId="02A74007" w14:textId="77777777" w:rsidR="00130005" w:rsidRPr="00A26AF8" w:rsidRDefault="00130005" w:rsidP="00130005">
      <w:pPr>
        <w:pStyle w:val="Paragraphedeliste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91C722" w14:textId="69A91626" w:rsidR="00F50ABB" w:rsidRPr="00904598" w:rsidRDefault="00A26AF8" w:rsidP="00904598">
      <w:pPr>
        <w:tabs>
          <w:tab w:val="left" w:pos="808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Q2. Quelle est votre évaluation juridique des compétences du Parquet européen du point de vue du procureur national de l’État membre A ou B, qui doit traiter les accusations portées contre les agents de l’UE ?</w:t>
      </w:r>
    </w:p>
    <w:p w14:paraId="3024B8CA" w14:textId="77777777" w:rsidR="0067618F" w:rsidRPr="00A26AF8" w:rsidRDefault="0067618F" w:rsidP="00F50ABB">
      <w:pPr>
        <w:pStyle w:val="Corpsdetexte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AA1B85" w14:textId="5A8A54E4" w:rsidR="00F50ABB" w:rsidRPr="00A26AF8" w:rsidRDefault="00A26AF8" w:rsidP="000440FE">
      <w:pPr>
        <w:pStyle w:val="Titre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Q3. En tant que procureur national chargé de traiter des accusations portées contre A ou B, informeriez-vous le Parquet européen de votre affaire ? Si oui, comment ? Que faut-il faire, dans l’intervalle, concernant les enquêtes nationales ?</w:t>
      </w:r>
    </w:p>
    <w:p w14:paraId="3149E6CE" w14:textId="77777777" w:rsidR="00F50ABB" w:rsidRPr="00A26AF8" w:rsidRDefault="00F50ABB" w:rsidP="00F50ABB">
      <w:pPr>
        <w:pStyle w:val="Paragraphedeliste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34D69413" w:rsidR="0067618F" w:rsidRPr="00A26AF8" w:rsidRDefault="00A26AF8" w:rsidP="00A26AF8">
      <w:pPr>
        <w:pStyle w:val="Titre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Q4. S’il est argué que le Parquet européen n’est pas compétent pour l’affaire concernant A et B parce</w:t>
      </w:r>
    </w:p>
    <w:p w14:paraId="542C0102" w14:textId="22B784F4" w:rsidR="0067618F" w:rsidRPr="00A26AF8" w:rsidRDefault="00BE6DB5" w:rsidP="00F50ABB">
      <w:pPr>
        <w:pStyle w:val="Paragraphedeliste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qu’aucun préjudice financier n’a été causé aux intérêts financiers de l’UE ou</w:t>
      </w:r>
    </w:p>
    <w:p w14:paraId="60D69373" w14:textId="680B3F06" w:rsidR="00F024B1" w:rsidRPr="00A26AF8" w:rsidRDefault="00F50ABB" w:rsidP="00F50ABB">
      <w:pPr>
        <w:pStyle w:val="Paragraphedeliste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que le préjudice financier est inférieur à 10 000 euros, </w:t>
      </w:r>
    </w:p>
    <w:p w14:paraId="372F940D" w14:textId="7B116F65" w:rsidR="00F50ABB" w:rsidRPr="00A26AF8" w:rsidRDefault="00F50ABB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comment résoudre de tels désaccords ?</w:t>
      </w:r>
    </w:p>
    <w:p w14:paraId="77CB47B0" w14:textId="77777777" w:rsidR="007B6E25" w:rsidRPr="00A26AF8" w:rsidRDefault="007B6E25" w:rsidP="00F50ABB">
      <w:pPr>
        <w:pStyle w:val="Corpsdetext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A26B8" w14:textId="77777777" w:rsidR="007B6E25" w:rsidRPr="00A26AF8" w:rsidRDefault="007B6E25" w:rsidP="00F50ABB">
      <w:pPr>
        <w:pStyle w:val="Corpsdetext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487B58B9" w:rsidR="0067618F" w:rsidRPr="00A26AF8" w:rsidRDefault="00A26AF8" w:rsidP="00A26AF8">
      <w:pPr>
        <w:pStyle w:val="Titre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07544"/>
      <w:r>
        <w:rPr>
          <w:rFonts w:ascii="Times New Roman" w:hAnsi="Times New Roman"/>
          <w:sz w:val="24"/>
        </w:rPr>
        <w:t xml:space="preserve">Q5. Le </w:t>
      </w:r>
      <w:r w:rsidR="003B7D72">
        <w:rPr>
          <w:rFonts w:ascii="Times New Roman" w:hAnsi="Times New Roman"/>
          <w:sz w:val="24"/>
        </w:rPr>
        <w:t>PED</w:t>
      </w:r>
      <w:r>
        <w:rPr>
          <w:rFonts w:ascii="Times New Roman" w:hAnsi="Times New Roman"/>
          <w:sz w:val="24"/>
        </w:rPr>
        <w:t xml:space="preserve"> peut-il décider de ne pas évoquer l’affaire contre A et B si le préjudice (ou le préjudice probable) pour les intérêts financiers de l’UE est inférieur à 10 millions d’euros ?</w:t>
      </w:r>
    </w:p>
    <w:p w14:paraId="69CB9897" w14:textId="72F11A1B" w:rsidR="0067618F" w:rsidRPr="00A26AF8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a. 100 000 euros ?</w:t>
      </w:r>
    </w:p>
    <w:p w14:paraId="42A9B77D" w14:textId="1D8EAA87" w:rsidR="0067618F" w:rsidRPr="00A26AF8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b. 10 000 euros ?</w:t>
      </w:r>
    </w:p>
    <w:bookmarkEnd w:id="0"/>
    <w:p w14:paraId="03402585" w14:textId="77777777" w:rsidR="0067618F" w:rsidRPr="00A26AF8" w:rsidRDefault="0067618F" w:rsidP="00F50ABB">
      <w:pPr>
        <w:pStyle w:val="Corpsdetexte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4EEBFF29" w14:textId="0530B1A6" w:rsidR="0067618F" w:rsidRPr="00A26AF8" w:rsidRDefault="00A26AF8" w:rsidP="00A26AF8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Q6. Étant donné que le Parquet européen a évoqué les enquêtes nationales des États membres A et B, dans quel État membre le Parquet européen doit-il ouvrir ses propres enquêtes ?</w:t>
      </w:r>
    </w:p>
    <w:p w14:paraId="4EA8A94E" w14:textId="77777777" w:rsidR="007B6E25" w:rsidRPr="00A26AF8" w:rsidRDefault="007B6E25" w:rsidP="007B6E25">
      <w:pPr>
        <w:pStyle w:val="Paragraphedeliste"/>
        <w:tabs>
          <w:tab w:val="left" w:pos="808"/>
        </w:tabs>
        <w:spacing w:before="140"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1FF43" w14:textId="77777777" w:rsidR="0067618F" w:rsidRPr="00A26AF8" w:rsidRDefault="0067618F" w:rsidP="00F50ABB">
      <w:pPr>
        <w:pStyle w:val="Corpsdetexte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sectPr w:rsidR="0067618F" w:rsidRPr="00A26AF8">
      <w:footerReference w:type="default" r:id="rId12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1617" w14:textId="77777777" w:rsidR="00566870" w:rsidRDefault="00566870">
      <w:r>
        <w:separator/>
      </w:r>
    </w:p>
  </w:endnote>
  <w:endnote w:type="continuationSeparator" w:id="0">
    <w:p w14:paraId="430DA0D7" w14:textId="77777777" w:rsidR="00566870" w:rsidRDefault="005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41619"/>
      <w:docPartObj>
        <w:docPartGallery w:val="Page Numbers (Bottom of Page)"/>
        <w:docPartUnique/>
      </w:docPartObj>
    </w:sdtPr>
    <w:sdtEndPr/>
    <w:sdtContent>
      <w:p w14:paraId="7705415C" w14:textId="3ECD7127" w:rsidR="00996B48" w:rsidRDefault="00996B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3BADF" w14:textId="243DEEF7" w:rsidR="0067618F" w:rsidRDefault="0067618F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5BE8" w14:textId="77777777" w:rsidR="00566870" w:rsidRDefault="00566870">
      <w:r>
        <w:separator/>
      </w:r>
    </w:p>
  </w:footnote>
  <w:footnote w:type="continuationSeparator" w:id="0">
    <w:p w14:paraId="2F4F268D" w14:textId="77777777" w:rsidR="00566870" w:rsidRDefault="0056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 w15:restartNumberingAfterBreak="0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8F"/>
    <w:rsid w:val="000071C0"/>
    <w:rsid w:val="000440FE"/>
    <w:rsid w:val="000F4A10"/>
    <w:rsid w:val="001121C3"/>
    <w:rsid w:val="00130005"/>
    <w:rsid w:val="00167E24"/>
    <w:rsid w:val="001922F7"/>
    <w:rsid w:val="002178B9"/>
    <w:rsid w:val="00227A40"/>
    <w:rsid w:val="002670A7"/>
    <w:rsid w:val="002A52EE"/>
    <w:rsid w:val="002D205F"/>
    <w:rsid w:val="003B14DA"/>
    <w:rsid w:val="003B7D72"/>
    <w:rsid w:val="003E6A84"/>
    <w:rsid w:val="00463D9A"/>
    <w:rsid w:val="00471FEA"/>
    <w:rsid w:val="004E2FD9"/>
    <w:rsid w:val="00512B9A"/>
    <w:rsid w:val="005517A7"/>
    <w:rsid w:val="00566870"/>
    <w:rsid w:val="00667B74"/>
    <w:rsid w:val="0067618F"/>
    <w:rsid w:val="006C586A"/>
    <w:rsid w:val="007B6E25"/>
    <w:rsid w:val="007B79C3"/>
    <w:rsid w:val="00857186"/>
    <w:rsid w:val="008823D0"/>
    <w:rsid w:val="00904598"/>
    <w:rsid w:val="00922975"/>
    <w:rsid w:val="00922D60"/>
    <w:rsid w:val="00944CEC"/>
    <w:rsid w:val="00996B48"/>
    <w:rsid w:val="009B7AB7"/>
    <w:rsid w:val="00A26AF8"/>
    <w:rsid w:val="00A922B1"/>
    <w:rsid w:val="00BB4C92"/>
    <w:rsid w:val="00BE6DB5"/>
    <w:rsid w:val="00CC418A"/>
    <w:rsid w:val="00EE0B10"/>
    <w:rsid w:val="00EE1907"/>
    <w:rsid w:val="00F024B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15102"/>
  <w15:docId w15:val="{64F5F0B5-F7EA-4C17-85E6-F78AE0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Titre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944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C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1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</w:rPr>
  </w:style>
  <w:style w:type="character" w:styleId="lev">
    <w:name w:val="Strong"/>
    <w:basedOn w:val="Policepardfaut"/>
    <w:uiPriority w:val="22"/>
    <w:qFormat/>
    <w:rsid w:val="00EE190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6B48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6B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42ec804-fd2f-416a-97c3-f6e4f439fedc" ContentTypeId="0x0101004D6BE50D68D3FB4CB86FCC808E3102E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4D6BE50D68D3FB4CB86FCC808E3102E700B52DCB55B1753042A49B3B4B7598A69E" ma:contentTypeVersion="3" ma:contentTypeDescription="" ma:contentTypeScope="" ma:versionID="06ec70140a78ed1b6ed7c25f54658f66">
  <xsd:schema xmlns:xsd="http://www.w3.org/2001/XMLSchema" xmlns:xs="http://www.w3.org/2001/XMLSchema" xmlns:p="http://schemas.microsoft.com/office/2006/metadata/properties" xmlns:ns2="968fa894-b235-41da-b9ee-9562b1e68f50" targetNamespace="http://schemas.microsoft.com/office/2006/metadata/properties" ma:root="true" ma:fieldsID="2a51f9b24e2a84d59326c1e7145a5039" ns2:_="">
    <xsd:import namespace="968fa894-b235-41da-b9ee-9562b1e68f50"/>
    <xsd:element name="properties">
      <xsd:complexType>
        <xsd:sequence>
          <xsd:element name="documentManagement">
            <xsd:complexType>
              <xsd:all>
                <xsd:element ref="ns2:Nature_x0020_du_x0020_document" minOccurs="0"/>
                <xsd:element ref="ns2:NN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a894-b235-41da-b9ee-9562b1e68f50" elementFormDefault="qualified">
    <xsd:import namespace="http://schemas.microsoft.com/office/2006/documentManagement/types"/>
    <xsd:import namespace="http://schemas.microsoft.com/office/infopath/2007/PartnerControls"/>
    <xsd:element name="Nature_x0020_du_x0020_document" ma:index="8" nillable="true" ma:displayName="Nature du document" ma:format="Dropdown" ma:internalName="Nature_x0020_du_x0020_document">
      <xsd:simpleType>
        <xsd:restriction base="dms:Choice">
          <xsd:enumeration value="Administratif"/>
          <xsd:enumeration value="Pédagogique - Cas pratique"/>
          <xsd:enumeration value="Pédagogique - Conférence"/>
          <xsd:enumeration value="Pédagogique - Devoir"/>
          <xsd:enumeration value="Pédagogique - Documentation externe"/>
          <xsd:enumeration value="Pédagogique - Fascicule"/>
          <xsd:enumeration value="Pédagogique - Fiche Pédagogique"/>
          <xsd:enumeration value="Pédagogique - Programme"/>
          <xsd:enumeration value="Pédagogique - Présentation"/>
        </xsd:restriction>
      </xsd:simpleType>
    </xsd:element>
    <xsd:element name="NNAF" ma:index="9" nillable="true" ma:displayName="NNAF" ma:internalName="NNA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968fa894-b235-41da-b9ee-9562b1e68f50" xsi:nil="true"/>
    <NNAF xmlns="968fa894-b235-41da-b9ee-9562b1e68f5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EB96B-AF53-460E-89A5-DB147CEEA52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947F7C-B99C-46E5-B613-9F129B065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fa894-b235-41da-b9ee-9562b1e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DFF42-F3B5-44D4-BDB8-E5A4D1300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B71E53-29FD-42F2-BF5A-EF8B287DE4AD}">
  <ds:schemaRefs>
    <ds:schemaRef ds:uri="http://schemas.microsoft.com/office/2006/metadata/properties"/>
    <ds:schemaRef ds:uri="http://schemas.microsoft.com/office/infopath/2007/PartnerControls"/>
    <ds:schemaRef ds:uri="968fa894-b235-41da-b9ee-9562b1e68f50"/>
  </ds:schemaRefs>
</ds:datastoreItem>
</file>

<file path=customXml/itemProps5.xml><?xml version="1.0" encoding="utf-8"?>
<ds:datastoreItem xmlns:ds="http://schemas.openxmlformats.org/officeDocument/2006/customXml" ds:itemID="{ED4EAD1D-1320-44ED-BAE9-529B48359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Garry HUTTON</cp:lastModifiedBy>
  <cp:revision>2</cp:revision>
  <dcterms:created xsi:type="dcterms:W3CDTF">2022-02-03T06:53:00Z</dcterms:created>
  <dcterms:modified xsi:type="dcterms:W3CDTF">2022-02-03T06:53:00Z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  <property fmtid="{D5CDD505-2E9C-101B-9397-08002B2CF9AE}" pid="4" name="ContentTypeId">
    <vt:lpwstr>0x0101004D6BE50D68D3FB4CB86FCC808E3102E700B52DCB55B1753042A49B3B4B7598A69E</vt:lpwstr>
  </property>
</Properties>
</file>